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4181" w:rsidRDefault="00094181">
      <w:pPr>
        <w:spacing w:after="0" w:line="276" w:lineRule="auto"/>
        <w:rPr>
          <w:rFonts w:ascii="Arial" w:eastAsia="Arial" w:hAnsi="Arial" w:cs="Arial"/>
        </w:rPr>
      </w:pPr>
      <w:bookmarkStart w:id="0" w:name="_GoBack"/>
      <w:bookmarkEnd w:id="0"/>
    </w:p>
    <w:tbl>
      <w:tblPr>
        <w:tblStyle w:val="a"/>
        <w:tblW w:w="1431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00"/>
        <w:gridCol w:w="2970"/>
        <w:gridCol w:w="2880"/>
        <w:gridCol w:w="1440"/>
        <w:gridCol w:w="1440"/>
        <w:gridCol w:w="3240"/>
      </w:tblGrid>
      <w:tr w:rsidR="00094181">
        <w:trPr>
          <w:gridAfter w:val="6"/>
          <w:wAfter w:w="12870" w:type="dxa"/>
        </w:trPr>
        <w:tc>
          <w:tcPr>
            <w:tcW w:w="1440" w:type="dxa"/>
            <w:tcBorders>
              <w:left w:val="single" w:sz="4" w:space="0" w:color="000000"/>
            </w:tcBorders>
            <w:shd w:val="clear" w:color="auto" w:fill="D9D9D9"/>
          </w:tcPr>
          <w:p w:rsidR="00094181" w:rsidRDefault="00094181">
            <w:pPr>
              <w:shd w:val="clear" w:color="auto" w:fill="FFFFFF"/>
              <w:contextualSpacing w:val="0"/>
              <w:jc w:val="center"/>
              <w:rPr>
                <w:rFonts w:ascii="Times New Roman" w:eastAsia="Times New Roman" w:hAnsi="Times New Roman" w:cs="Times New Roman"/>
                <w:b/>
                <w:i/>
                <w:sz w:val="32"/>
                <w:szCs w:val="32"/>
              </w:rPr>
            </w:pPr>
          </w:p>
        </w:tc>
      </w:tr>
      <w:tr w:rsidR="00094181">
        <w:trPr>
          <w:gridAfter w:val="6"/>
          <w:wAfter w:w="12870" w:type="dxa"/>
        </w:trPr>
        <w:tc>
          <w:tcPr>
            <w:tcW w:w="1440" w:type="dxa"/>
            <w:tcBorders>
              <w:left w:val="single" w:sz="4" w:space="0" w:color="000000"/>
            </w:tcBorders>
            <w:shd w:val="clear" w:color="auto" w:fill="D9D9D9"/>
          </w:tcPr>
          <w:p w:rsidR="00094181" w:rsidRDefault="00094181">
            <w:pPr>
              <w:contextualSpacing w:val="0"/>
              <w:rPr>
                <w:b/>
              </w:rPr>
            </w:pPr>
          </w:p>
        </w:tc>
      </w:tr>
      <w:tr w:rsidR="00094181">
        <w:tc>
          <w:tcPr>
            <w:tcW w:w="2340" w:type="dxa"/>
            <w:gridSpan w:val="2"/>
            <w:tcBorders>
              <w:left w:val="single" w:sz="4" w:space="0" w:color="000000"/>
            </w:tcBorders>
            <w:shd w:val="clear" w:color="auto" w:fill="D9D9D9"/>
            <w:vAlign w:val="center"/>
          </w:tcPr>
          <w:p w:rsidR="00094181" w:rsidRDefault="00DD18ED">
            <w:pPr>
              <w:shd w:val="clear" w:color="auto" w:fill="FFFFFF"/>
              <w:contextualSpacing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Strategy/objective</w:t>
            </w:r>
          </w:p>
        </w:tc>
        <w:tc>
          <w:tcPr>
            <w:tcW w:w="2970" w:type="dxa"/>
            <w:tcBorders>
              <w:left w:val="single" w:sz="4" w:space="0" w:color="000000"/>
              <w:bottom w:val="single" w:sz="4" w:space="0" w:color="000000"/>
              <w:right w:val="single" w:sz="4" w:space="0" w:color="000000"/>
            </w:tcBorders>
            <w:shd w:val="clear" w:color="auto" w:fill="D9D9D9"/>
            <w:vAlign w:val="center"/>
          </w:tcPr>
          <w:p w:rsidR="00094181" w:rsidRDefault="00DD18ED">
            <w:pPr>
              <w:shd w:val="clear" w:color="auto" w:fill="FFFFFF"/>
              <w:contextualSpacing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Activity</w:t>
            </w:r>
          </w:p>
        </w:tc>
        <w:tc>
          <w:tcPr>
            <w:tcW w:w="2880" w:type="dxa"/>
            <w:tcBorders>
              <w:left w:val="single" w:sz="4" w:space="0" w:color="000000"/>
              <w:bottom w:val="single" w:sz="4" w:space="0" w:color="000000"/>
            </w:tcBorders>
            <w:shd w:val="clear" w:color="auto" w:fill="D9D9D9"/>
            <w:vAlign w:val="center"/>
          </w:tcPr>
          <w:p w:rsidR="00094181" w:rsidRDefault="00DD18ED">
            <w:pPr>
              <w:shd w:val="clear" w:color="auto" w:fill="FFFFFF"/>
              <w:contextualSpacing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Measurable Outcomes</w:t>
            </w:r>
          </w:p>
        </w:tc>
        <w:tc>
          <w:tcPr>
            <w:tcW w:w="1440" w:type="dxa"/>
            <w:tcBorders>
              <w:left w:val="single" w:sz="4" w:space="0" w:color="000000"/>
              <w:bottom w:val="single" w:sz="4" w:space="0" w:color="000000"/>
              <w:right w:val="single" w:sz="4" w:space="0" w:color="000000"/>
            </w:tcBorders>
            <w:shd w:val="clear" w:color="auto" w:fill="D9D9D9"/>
          </w:tcPr>
          <w:p w:rsidR="00094181" w:rsidRDefault="00DD18ED">
            <w:pPr>
              <w:shd w:val="clear" w:color="auto" w:fill="FFFFFF"/>
              <w:contextualSpacing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Start Date / End Date</w:t>
            </w:r>
          </w:p>
        </w:tc>
        <w:tc>
          <w:tcPr>
            <w:tcW w:w="1440" w:type="dxa"/>
            <w:tcBorders>
              <w:left w:val="single" w:sz="4" w:space="0" w:color="000000"/>
              <w:bottom w:val="single" w:sz="4" w:space="0" w:color="000000"/>
            </w:tcBorders>
            <w:shd w:val="clear" w:color="auto" w:fill="D9D9D9"/>
            <w:vAlign w:val="center"/>
          </w:tcPr>
          <w:p w:rsidR="00094181" w:rsidRDefault="00DD18ED">
            <w:pPr>
              <w:shd w:val="clear" w:color="auto" w:fill="FFFFFF"/>
              <w:contextualSpacing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Lead/Co Lead</w:t>
            </w:r>
          </w:p>
        </w:tc>
        <w:tc>
          <w:tcPr>
            <w:tcW w:w="3240" w:type="dxa"/>
            <w:tcBorders>
              <w:left w:val="single" w:sz="4" w:space="0" w:color="000000"/>
              <w:bottom w:val="single" w:sz="4" w:space="0" w:color="000000"/>
            </w:tcBorders>
            <w:shd w:val="clear" w:color="auto" w:fill="D9D9D9"/>
            <w:vAlign w:val="center"/>
          </w:tcPr>
          <w:p w:rsidR="00094181" w:rsidRDefault="00DD18ED">
            <w:pPr>
              <w:shd w:val="clear" w:color="auto" w:fill="FFFFFF"/>
              <w:contextualSpacing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Progress</w:t>
            </w:r>
          </w:p>
        </w:tc>
      </w:tr>
      <w:tr w:rsidR="00094181">
        <w:tc>
          <w:tcPr>
            <w:tcW w:w="2340" w:type="dxa"/>
            <w:gridSpan w:val="2"/>
            <w:vMerge w:val="restart"/>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Implement a practical systems strengthening process to support community and state systems of care in improving communication, knowledge translation and collaboration in regards to youth in transition to adulthood.</w:t>
            </w: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bottom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 relationship with the Department of Health Policy and Management – </w:t>
            </w:r>
            <w:proofErr w:type="spellStart"/>
            <w:r>
              <w:rPr>
                <w:rFonts w:ascii="Times New Roman" w:eastAsia="Times New Roman" w:hAnsi="Times New Roman" w:cs="Times New Roman"/>
                <w:sz w:val="20"/>
                <w:szCs w:val="20"/>
              </w:rPr>
              <w:t>Gillings</w:t>
            </w:r>
            <w:proofErr w:type="spellEnd"/>
            <w:r>
              <w:rPr>
                <w:rFonts w:ascii="Times New Roman" w:eastAsia="Times New Roman" w:hAnsi="Times New Roman" w:cs="Times New Roman"/>
                <w:sz w:val="20"/>
                <w:szCs w:val="20"/>
              </w:rPr>
              <w:t xml:space="preserve"> School of Global Public Health – University of North Carolina at Chapel Hill to set strategic plan and elements of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and Social Learning in motion</w:t>
            </w:r>
          </w:p>
        </w:tc>
        <w:tc>
          <w:tcPr>
            <w:tcW w:w="2880" w:type="dxa"/>
            <w:tcBorders>
              <w:left w:val="single" w:sz="4" w:space="0" w:color="000000"/>
              <w:bottom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Academic partner participation in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work </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bottom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May 2016 - (ongoing)</w:t>
            </w:r>
          </w:p>
        </w:tc>
        <w:tc>
          <w:tcPr>
            <w:tcW w:w="1440" w:type="dxa"/>
            <w:tcBorders>
              <w:left w:val="single" w:sz="4" w:space="0" w:color="000000"/>
              <w:bottom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Amy Horgan, Damie Jackson-Diop and Kristen </w:t>
            </w:r>
            <w:proofErr w:type="spellStart"/>
            <w:r>
              <w:rPr>
                <w:rFonts w:ascii="Times New Roman" w:eastAsia="Times New Roman" w:hAnsi="Times New Roman" w:cs="Times New Roman"/>
                <w:sz w:val="20"/>
                <w:szCs w:val="20"/>
              </w:rPr>
              <w:t>Hassmiller</w:t>
            </w:r>
            <w:proofErr w:type="spellEnd"/>
            <w:r>
              <w:rPr>
                <w:rFonts w:ascii="Times New Roman" w:eastAsia="Times New Roman" w:hAnsi="Times New Roman" w:cs="Times New Roman"/>
                <w:sz w:val="20"/>
                <w:szCs w:val="20"/>
              </w:rPr>
              <w:t xml:space="preserve"> Lich</w:t>
            </w:r>
          </w:p>
        </w:tc>
        <w:tc>
          <w:tcPr>
            <w:tcW w:w="3240" w:type="dxa"/>
            <w:tcBorders>
              <w:left w:val="single" w:sz="4" w:space="0" w:color="000000"/>
              <w:bottom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Kristen </w:t>
            </w:r>
            <w:proofErr w:type="spellStart"/>
            <w:r>
              <w:rPr>
                <w:rFonts w:ascii="Times New Roman" w:eastAsia="Times New Roman" w:hAnsi="Times New Roman" w:cs="Times New Roman"/>
                <w:sz w:val="20"/>
                <w:szCs w:val="20"/>
              </w:rPr>
              <w:t>Hassmiller</w:t>
            </w:r>
            <w:proofErr w:type="spellEnd"/>
            <w:r>
              <w:rPr>
                <w:rFonts w:ascii="Times New Roman" w:eastAsia="Times New Roman" w:hAnsi="Times New Roman" w:cs="Times New Roman"/>
                <w:sz w:val="20"/>
                <w:szCs w:val="20"/>
              </w:rPr>
              <w:t xml:space="preserve"> Lich, HPM, has been involved with the group and has become a contributing member. She is going to be the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YEYA workgroup co-chair starting July 1, 2017. </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three of us leading this activity also presented on our work to date at the 30th Annual Research and Policy Conference on Child, Adolescent, and Young Adult Behavioral Health (Tampa). </w:t>
            </w:r>
          </w:p>
          <w:p w:rsidR="00094181" w:rsidRDefault="00094181">
            <w:pPr>
              <w:shd w:val="clear" w:color="auto" w:fill="FFFFFF"/>
              <w:contextualSpacing w:val="0"/>
              <w:rPr>
                <w:rFonts w:ascii="Times New Roman" w:eastAsia="Times New Roman" w:hAnsi="Times New Roman" w:cs="Times New Roman"/>
                <w:sz w:val="20"/>
                <w:szCs w:val="20"/>
              </w:rPr>
            </w:pPr>
          </w:p>
        </w:tc>
      </w:tr>
      <w:tr w:rsidR="00094181">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Establish social learning and collective action opportunities as a key foundation for this </w:t>
            </w:r>
            <w:proofErr w:type="spellStart"/>
            <w:r>
              <w:rPr>
                <w:rFonts w:ascii="Times New Roman" w:eastAsia="Times New Roman" w:hAnsi="Times New Roman" w:cs="Times New Roman"/>
                <w:sz w:val="20"/>
                <w:szCs w:val="20"/>
              </w:rPr>
              <w:t>CoP</w:t>
            </w:r>
            <w:proofErr w:type="spellEnd"/>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members understand what social learning and collective action mean, and value this as part of the </w:t>
            </w:r>
            <w:proofErr w:type="spellStart"/>
            <w:r>
              <w:rPr>
                <w:rFonts w:ascii="Times New Roman" w:eastAsia="Times New Roman" w:hAnsi="Times New Roman" w:cs="Times New Roman"/>
                <w:sz w:val="20"/>
                <w:szCs w:val="20"/>
              </w:rPr>
              <w:t>CoP’s</w:t>
            </w:r>
            <w:proofErr w:type="spellEnd"/>
            <w:r>
              <w:rPr>
                <w:rFonts w:ascii="Times New Roman" w:eastAsia="Times New Roman" w:hAnsi="Times New Roman" w:cs="Times New Roman"/>
                <w:sz w:val="20"/>
                <w:szCs w:val="20"/>
              </w:rPr>
              <w:t xml:space="preserve"> work</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Members use insights and information from the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in their day-to-day work</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Member engagement in social learning opportunities (a first example was that 9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members participated in the National Research Training Center Pathways Transition Training)</w:t>
            </w: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April 2016</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January-June 2016</w:t>
            </w:r>
          </w:p>
        </w:tc>
        <w:tc>
          <w:tcPr>
            <w:tcW w:w="14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Amy Horgan and Damie Jackson-Diop</w:t>
            </w:r>
          </w:p>
        </w:tc>
        <w:tc>
          <w:tcPr>
            <w:tcW w:w="32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w:t>
            </w:r>
          </w:p>
        </w:tc>
      </w:tr>
      <w:tr w:rsidR="00094181">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bookmarkStart w:id="1" w:name="_ffj5r3aqvf22" w:colFirst="0" w:colLast="0"/>
            <w:bookmarkEnd w:id="1"/>
            <w:r>
              <w:rPr>
                <w:rFonts w:ascii="Times New Roman" w:eastAsia="Times New Roman" w:hAnsi="Times New Roman" w:cs="Times New Roman"/>
                <w:sz w:val="20"/>
                <w:szCs w:val="20"/>
              </w:rPr>
              <w:t>Pilot and continue to improve our systems strengthening/planning process, including:</w:t>
            </w:r>
          </w:p>
          <w:p w:rsidR="00094181" w:rsidRDefault="00DD18ED">
            <w:pPr>
              <w:numPr>
                <w:ilvl w:val="0"/>
                <w:numId w:val="2"/>
              </w:numPr>
              <w:shd w:val="clear" w:color="auto" w:fill="FFFFFF"/>
              <w:ind w:hanging="360"/>
              <w:rPr>
                <w:rFonts w:ascii="Times New Roman" w:eastAsia="Times New Roman" w:hAnsi="Times New Roman" w:cs="Times New Roman"/>
                <w:sz w:val="20"/>
                <w:szCs w:val="20"/>
                <w:highlight w:val="yellow"/>
              </w:rPr>
            </w:pPr>
            <w:bookmarkStart w:id="2" w:name="_56lh51or2gin" w:colFirst="0" w:colLast="0"/>
            <w:bookmarkEnd w:id="2"/>
            <w:r>
              <w:rPr>
                <w:rFonts w:ascii="Times New Roman" w:eastAsia="Times New Roman" w:hAnsi="Times New Roman" w:cs="Times New Roman"/>
                <w:sz w:val="20"/>
                <w:szCs w:val="20"/>
                <w:highlight w:val="yellow"/>
              </w:rPr>
              <w:t>Iceberg Conversation</w:t>
            </w:r>
          </w:p>
          <w:p w:rsidR="00094181" w:rsidRDefault="00DD18ED">
            <w:pPr>
              <w:numPr>
                <w:ilvl w:val="0"/>
                <w:numId w:val="1"/>
              </w:numPr>
              <w:shd w:val="clear" w:color="auto" w:fill="FFFFFF"/>
              <w:ind w:hanging="360"/>
              <w:rPr>
                <w:rFonts w:ascii="Times New Roman" w:eastAsia="Times New Roman" w:hAnsi="Times New Roman" w:cs="Times New Roman"/>
                <w:sz w:val="20"/>
                <w:szCs w:val="20"/>
                <w:highlight w:val="yellow"/>
              </w:rPr>
            </w:pPr>
            <w:bookmarkStart w:id="3" w:name="_gjdgxs" w:colFirst="0" w:colLast="0"/>
            <w:bookmarkEnd w:id="3"/>
            <w:r>
              <w:rPr>
                <w:rFonts w:ascii="Times New Roman" w:eastAsia="Times New Roman" w:hAnsi="Times New Roman" w:cs="Times New Roman"/>
                <w:sz w:val="20"/>
                <w:szCs w:val="20"/>
                <w:highlight w:val="yellow"/>
              </w:rPr>
              <w:t>Flower Diagram (why are/should partners be involved, invested)</w:t>
            </w:r>
          </w:p>
          <w:p w:rsidR="00094181" w:rsidRDefault="00DD18ED">
            <w:pPr>
              <w:numPr>
                <w:ilvl w:val="0"/>
                <w:numId w:val="3"/>
              </w:numPr>
              <w:shd w:val="clear" w:color="auto" w:fill="FFFFFF"/>
              <w:spacing w:line="259" w:lineRule="auto"/>
              <w:ind w:hanging="360"/>
              <w:rPr>
                <w:sz w:val="20"/>
                <w:szCs w:val="20"/>
              </w:rPr>
            </w:pPr>
            <w:r>
              <w:rPr>
                <w:rFonts w:ascii="Times New Roman" w:eastAsia="Times New Roman" w:hAnsi="Times New Roman" w:cs="Times New Roman"/>
                <w:sz w:val="20"/>
                <w:szCs w:val="20"/>
              </w:rPr>
              <w:t>Coming up with a focus for system strengthening</w:t>
            </w:r>
          </w:p>
          <w:p w:rsidR="00094181" w:rsidRDefault="00DD18ED">
            <w:pPr>
              <w:numPr>
                <w:ilvl w:val="0"/>
                <w:numId w:val="3"/>
              </w:numPr>
              <w:shd w:val="clear" w:color="auto" w:fill="FFFFFF"/>
              <w:spacing w:line="259" w:lineRule="auto"/>
              <w:ind w:hanging="360"/>
              <w:rPr>
                <w:sz w:val="20"/>
                <w:szCs w:val="20"/>
              </w:rPr>
            </w:pPr>
            <w:r>
              <w:rPr>
                <w:rFonts w:ascii="Times New Roman" w:eastAsia="Times New Roman" w:hAnsi="Times New Roman" w:cs="Times New Roman"/>
                <w:sz w:val="20"/>
                <w:szCs w:val="20"/>
              </w:rPr>
              <w:t>5 R’s to understand the context around our work</w:t>
            </w:r>
          </w:p>
          <w:p w:rsidR="00094181" w:rsidRDefault="00DD18ED">
            <w:pPr>
              <w:numPr>
                <w:ilvl w:val="0"/>
                <w:numId w:val="3"/>
              </w:numPr>
              <w:shd w:val="clear" w:color="auto" w:fill="FFFFFF"/>
              <w:spacing w:line="259" w:lineRule="auto"/>
              <w:ind w:hanging="360"/>
              <w:rPr>
                <w:sz w:val="20"/>
                <w:szCs w:val="20"/>
              </w:rPr>
            </w:pPr>
            <w:r>
              <w:rPr>
                <w:rFonts w:ascii="Times New Roman" w:eastAsia="Times New Roman" w:hAnsi="Times New Roman" w:cs="Times New Roman"/>
                <w:sz w:val="20"/>
                <w:szCs w:val="20"/>
              </w:rPr>
              <w:t>System Support Maps to better understand stakeholder perspectives, objectives, needs, current supportive resources and wishes.</w:t>
            </w:r>
          </w:p>
          <w:p w:rsidR="00094181" w:rsidRDefault="00DD18ED">
            <w:pPr>
              <w:numPr>
                <w:ilvl w:val="0"/>
                <w:numId w:val="3"/>
              </w:numPr>
              <w:shd w:val="clear" w:color="auto" w:fill="FFFFFF"/>
              <w:spacing w:line="259" w:lineRule="auto"/>
              <w:ind w:hanging="360"/>
              <w:rPr>
                <w:sz w:val="20"/>
                <w:szCs w:val="20"/>
              </w:rPr>
            </w:pPr>
            <w:r>
              <w:rPr>
                <w:rFonts w:ascii="Times New Roman" w:eastAsia="Times New Roman" w:hAnsi="Times New Roman" w:cs="Times New Roman"/>
                <w:sz w:val="20"/>
                <w:szCs w:val="20"/>
              </w:rPr>
              <w:t>Impact Matrix to prioritize targets for action collectively, using easy wins to hard and important</w:t>
            </w:r>
          </w:p>
          <w:p w:rsidR="00094181" w:rsidRDefault="00DD18ED">
            <w:pPr>
              <w:numPr>
                <w:ilvl w:val="0"/>
                <w:numId w:val="3"/>
              </w:numPr>
              <w:shd w:val="clear" w:color="auto" w:fill="FFFFFF"/>
              <w:spacing w:line="259" w:lineRule="auto"/>
              <w:ind w:hanging="360"/>
              <w:rPr>
                <w:sz w:val="20"/>
                <w:szCs w:val="20"/>
              </w:rPr>
            </w:pPr>
            <w:r>
              <w:rPr>
                <w:rFonts w:ascii="Times New Roman" w:eastAsia="Times New Roman" w:hAnsi="Times New Roman" w:cs="Times New Roman"/>
                <w:sz w:val="20"/>
                <w:szCs w:val="20"/>
              </w:rPr>
              <w:t>Structured work plan development</w:t>
            </w:r>
          </w:p>
          <w:p w:rsidR="00094181" w:rsidRDefault="00DD18ED">
            <w:pPr>
              <w:numPr>
                <w:ilvl w:val="0"/>
                <w:numId w:val="3"/>
              </w:numPr>
              <w:shd w:val="clear" w:color="auto" w:fill="FFFFFF"/>
              <w:spacing w:after="160" w:line="259" w:lineRule="auto"/>
              <w:ind w:hanging="360"/>
              <w:rPr>
                <w:sz w:val="20"/>
                <w:szCs w:val="20"/>
              </w:rPr>
            </w:pPr>
            <w:r>
              <w:rPr>
                <w:rFonts w:ascii="Times New Roman" w:eastAsia="Times New Roman" w:hAnsi="Times New Roman" w:cs="Times New Roman"/>
                <w:sz w:val="20"/>
                <w:szCs w:val="20"/>
              </w:rPr>
              <w:t>Create Action Steps to goals</w:t>
            </w:r>
          </w:p>
        </w:tc>
        <w:tc>
          <w:tcPr>
            <w:tcW w:w="288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members will have a better understanding of how these methods were useful in aligning with the objectives of the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and where the group will move forward to keep the work sustained.</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2016 - ongoing</w:t>
            </w:r>
          </w:p>
        </w:tc>
        <w:tc>
          <w:tcPr>
            <w:tcW w:w="1440" w:type="dxa"/>
            <w:tcBorders>
              <w:left w:val="single" w:sz="4" w:space="0" w:color="000000"/>
              <w:bottom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Amy Horgan, Damie Jackson-Diop and Kristen </w:t>
            </w:r>
            <w:proofErr w:type="spellStart"/>
            <w:r>
              <w:rPr>
                <w:rFonts w:ascii="Times New Roman" w:eastAsia="Times New Roman" w:hAnsi="Times New Roman" w:cs="Times New Roman"/>
                <w:sz w:val="20"/>
                <w:szCs w:val="20"/>
              </w:rPr>
              <w:t>Hassmiller</w:t>
            </w:r>
            <w:proofErr w:type="spellEnd"/>
            <w:r>
              <w:rPr>
                <w:rFonts w:ascii="Times New Roman" w:eastAsia="Times New Roman" w:hAnsi="Times New Roman" w:cs="Times New Roman"/>
                <w:sz w:val="20"/>
                <w:szCs w:val="20"/>
              </w:rPr>
              <w:t xml:space="preserve"> Lich</w:t>
            </w:r>
          </w:p>
        </w:tc>
        <w:tc>
          <w:tcPr>
            <w:tcW w:w="32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systems thinking methods to clarify the focus of  the </w:t>
            </w:r>
            <w:proofErr w:type="spellStart"/>
            <w:r>
              <w:rPr>
                <w:rFonts w:ascii="Times New Roman" w:eastAsia="Times New Roman" w:hAnsi="Times New Roman" w:cs="Times New Roman"/>
                <w:sz w:val="20"/>
                <w:szCs w:val="20"/>
              </w:rPr>
              <w:t>CoP</w:t>
            </w:r>
            <w:proofErr w:type="spellEnd"/>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Used the 5R’s, System Support Maps, and Impact Matrix to inform the December 2016 Strategic Plan.</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Since January 2017 group has continued to expand conversation around priorities and have worked into work plan development.</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With state group completed all methods. After completing leadership feels that the highlighted models would be beneficial at the start of the process.</w:t>
            </w:r>
          </w:p>
        </w:tc>
      </w:tr>
      <w:tr w:rsidR="00094181">
        <w:trPr>
          <w:trHeight w:val="192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our use of structured systems strengthening methods in a Toolkit that can be iterated, piloted and shared</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Draft Toolkit complete</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2017 - May 2017</w:t>
            </w: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DRAFT</w:t>
            </w:r>
          </w:p>
        </w:tc>
        <w:tc>
          <w:tcPr>
            <w:tcW w:w="14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Kristen </w:t>
            </w:r>
            <w:proofErr w:type="spellStart"/>
            <w:r>
              <w:rPr>
                <w:rFonts w:ascii="Times New Roman" w:eastAsia="Times New Roman" w:hAnsi="Times New Roman" w:cs="Times New Roman"/>
                <w:sz w:val="20"/>
                <w:szCs w:val="20"/>
              </w:rPr>
              <w:t>Hassmiller</w:t>
            </w:r>
            <w:proofErr w:type="spellEnd"/>
            <w:r>
              <w:rPr>
                <w:rFonts w:ascii="Times New Roman" w:eastAsia="Times New Roman" w:hAnsi="Times New Roman" w:cs="Times New Roman"/>
                <w:sz w:val="20"/>
                <w:szCs w:val="20"/>
              </w:rPr>
              <w:t xml:space="preserve"> Lich</w:t>
            </w:r>
          </w:p>
          <w:p w:rsidR="00094181" w:rsidRDefault="00DD18ED">
            <w:pPr>
              <w:shd w:val="clear" w:color="auto" w:fill="FFFFFF"/>
              <w:contextualSpacing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Studens</w:t>
            </w:r>
            <w:proofErr w:type="spellEnd"/>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Damie Jackson-Diop </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Initial draft was presented at April meeting and presented draft to reviewers of the SAMHSA SOC Expansion Grant (how methods align with CLAS standards) </w:t>
            </w:r>
          </w:p>
        </w:tc>
      </w:tr>
      <w:tr w:rsidR="00094181">
        <w:trPr>
          <w:trHeight w:val="24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Pilot test in one or more </w:t>
            </w:r>
            <w:r>
              <w:rPr>
                <w:rFonts w:ascii="Times New Roman" w:eastAsia="Times New Roman" w:hAnsi="Times New Roman" w:cs="Times New Roman"/>
                <w:sz w:val="20"/>
                <w:szCs w:val="20"/>
              </w:rPr>
              <w:lastRenderedPageBreak/>
              <w:t>local/regional collaborative</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Successfully pilot in a </w:t>
            </w:r>
            <w:r>
              <w:rPr>
                <w:rFonts w:ascii="Times New Roman" w:eastAsia="Times New Roman" w:hAnsi="Times New Roman" w:cs="Times New Roman"/>
                <w:sz w:val="20"/>
                <w:szCs w:val="20"/>
              </w:rPr>
              <w:lastRenderedPageBreak/>
              <w:t>local/regional collaborative.</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Secure resources</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Calendar year </w:t>
            </w:r>
            <w:r>
              <w:rPr>
                <w:rFonts w:ascii="Times New Roman" w:eastAsia="Times New Roman" w:hAnsi="Times New Roman" w:cs="Times New Roman"/>
                <w:sz w:val="20"/>
                <w:szCs w:val="20"/>
              </w:rPr>
              <w:lastRenderedPageBreak/>
              <w:t>January 2018</w:t>
            </w:r>
          </w:p>
        </w:tc>
        <w:tc>
          <w:tcPr>
            <w:tcW w:w="144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Kristen </w:t>
            </w:r>
            <w:proofErr w:type="spellStart"/>
            <w:r>
              <w:rPr>
                <w:rFonts w:ascii="Times New Roman" w:eastAsia="Times New Roman" w:hAnsi="Times New Roman" w:cs="Times New Roman"/>
                <w:sz w:val="20"/>
                <w:szCs w:val="20"/>
              </w:rPr>
              <w:lastRenderedPageBreak/>
              <w:t>Hassmiller</w:t>
            </w:r>
            <w:proofErr w:type="spellEnd"/>
            <w:r>
              <w:rPr>
                <w:rFonts w:ascii="Times New Roman" w:eastAsia="Times New Roman" w:hAnsi="Times New Roman" w:cs="Times New Roman"/>
                <w:sz w:val="20"/>
                <w:szCs w:val="20"/>
              </w:rPr>
              <w:t xml:space="preserve"> Lich</w:t>
            </w: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Amy Horgan</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sz w:val="20"/>
                <w:szCs w:val="20"/>
              </w:rPr>
            </w:pPr>
          </w:p>
        </w:tc>
      </w:tr>
      <w:tr w:rsidR="00094181">
        <w:trPr>
          <w:trHeight w:val="280"/>
        </w:trPr>
        <w:tc>
          <w:tcPr>
            <w:tcW w:w="2340" w:type="dxa"/>
            <w:gridSpan w:val="2"/>
            <w:vMerge w:val="restart"/>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Support Youth Voice and Involvement at all levels of change</w:t>
            </w: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 young adult who is interested in a role as co-chair (leadership consist of 3 co-chairs)</w:t>
            </w:r>
          </w:p>
          <w:p w:rsidR="00094181" w:rsidRDefault="00094181">
            <w:pPr>
              <w:shd w:val="clear" w:color="auto" w:fill="FFFFFF"/>
              <w:contextualSpacing w:val="0"/>
              <w:rPr>
                <w:rFonts w:ascii="Times New Roman" w:eastAsia="Times New Roman" w:hAnsi="Times New Roman" w:cs="Times New Roman"/>
                <w:sz w:val="20"/>
                <w:szCs w:val="20"/>
              </w:rPr>
            </w:pP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Recruit a young adult</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Calendar year January 2018</w:t>
            </w:r>
          </w:p>
        </w:tc>
        <w:tc>
          <w:tcPr>
            <w:tcW w:w="14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Joanne</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Tiki</w:t>
            </w:r>
            <w:proofErr w:type="spellEnd"/>
          </w:p>
        </w:tc>
        <w:tc>
          <w:tcPr>
            <w:tcW w:w="32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color w:val="7030A0"/>
                <w:sz w:val="20"/>
                <w:szCs w:val="20"/>
              </w:rPr>
            </w:pPr>
            <w:r>
              <w:rPr>
                <w:rFonts w:ascii="Times New Roman" w:eastAsia="Times New Roman" w:hAnsi="Times New Roman" w:cs="Times New Roman"/>
                <w:color w:val="7030A0"/>
                <w:sz w:val="20"/>
                <w:szCs w:val="20"/>
              </w:rPr>
              <w:t>Joanne going to reach out to youth attending the Youth Leadership Academy on April 29</w:t>
            </w:r>
            <w:r>
              <w:rPr>
                <w:rFonts w:ascii="Times New Roman" w:eastAsia="Times New Roman" w:hAnsi="Times New Roman" w:cs="Times New Roman"/>
                <w:color w:val="7030A0"/>
                <w:sz w:val="20"/>
                <w:szCs w:val="20"/>
                <w:vertAlign w:val="superscript"/>
              </w:rPr>
              <w:t>th</w:t>
            </w:r>
            <w:r>
              <w:rPr>
                <w:rFonts w:ascii="Times New Roman" w:eastAsia="Times New Roman" w:hAnsi="Times New Roman" w:cs="Times New Roman"/>
                <w:color w:val="7030A0"/>
                <w:sz w:val="20"/>
                <w:szCs w:val="20"/>
              </w:rPr>
              <w:t>.</w:t>
            </w:r>
          </w:p>
          <w:p w:rsidR="00094181" w:rsidRDefault="00094181">
            <w:pPr>
              <w:shd w:val="clear" w:color="auto" w:fill="FFFFFF"/>
              <w:contextualSpacing w:val="0"/>
              <w:rPr>
                <w:rFonts w:ascii="Times New Roman" w:eastAsia="Times New Roman" w:hAnsi="Times New Roman" w:cs="Times New Roman"/>
                <w:color w:val="7030A0"/>
                <w:sz w:val="20"/>
                <w:szCs w:val="20"/>
              </w:rPr>
            </w:pPr>
          </w:p>
          <w:p w:rsidR="00094181" w:rsidRDefault="00DD18ED">
            <w:pPr>
              <w:shd w:val="clear" w:color="auto" w:fill="FFFFFF"/>
              <w:contextualSpacing w:val="0"/>
              <w:rPr>
                <w:rFonts w:ascii="Times New Roman" w:eastAsia="Times New Roman" w:hAnsi="Times New Roman" w:cs="Times New Roman"/>
                <w:color w:val="7030A0"/>
                <w:sz w:val="20"/>
                <w:szCs w:val="20"/>
              </w:rPr>
            </w:pPr>
            <w:proofErr w:type="spellStart"/>
            <w:r>
              <w:rPr>
                <w:rFonts w:ascii="Times New Roman" w:eastAsia="Times New Roman" w:hAnsi="Times New Roman" w:cs="Times New Roman"/>
                <w:color w:val="7030A0"/>
                <w:sz w:val="20"/>
                <w:szCs w:val="20"/>
              </w:rPr>
              <w:t>Tiki</w:t>
            </w:r>
            <w:proofErr w:type="spellEnd"/>
            <w:r>
              <w:rPr>
                <w:rFonts w:ascii="Times New Roman" w:eastAsia="Times New Roman" w:hAnsi="Times New Roman" w:cs="Times New Roman"/>
                <w:color w:val="7030A0"/>
                <w:sz w:val="20"/>
                <w:szCs w:val="20"/>
              </w:rPr>
              <w:t xml:space="preserve"> is going to invite Director of United Way – Youth Thrive to attend a meeting</w:t>
            </w:r>
          </w:p>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28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recommendations to share with the State Collaborative and/or subcommittee groups </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Challenged other sub-committees of state collaborative to have young adult co-chair</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Report priorities, gathered through data, on how to better support YEYA based on </w:t>
            </w:r>
            <w:proofErr w:type="spellStart"/>
            <w:r>
              <w:rPr>
                <w:rFonts w:ascii="Times New Roman" w:eastAsia="Times New Roman" w:hAnsi="Times New Roman" w:cs="Times New Roman"/>
                <w:sz w:val="20"/>
                <w:szCs w:val="20"/>
              </w:rPr>
              <w:t>CoP’s</w:t>
            </w:r>
            <w:proofErr w:type="spellEnd"/>
            <w:r>
              <w:rPr>
                <w:rFonts w:ascii="Times New Roman" w:eastAsia="Times New Roman" w:hAnsi="Times New Roman" w:cs="Times New Roman"/>
                <w:sz w:val="20"/>
                <w:szCs w:val="20"/>
              </w:rPr>
              <w:t xml:space="preserve"> system strengthening work to date</w:t>
            </w: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2016</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July 2017</w:t>
            </w:r>
          </w:p>
        </w:tc>
        <w:tc>
          <w:tcPr>
            <w:tcW w:w="144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Amy Horgan</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Amy or Kristen</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154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Collect system support maps from youth and analyze the to identify themes (qualitative analysis)</w:t>
            </w:r>
          </w:p>
        </w:tc>
        <w:tc>
          <w:tcPr>
            <w:tcW w:w="288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Collect 12 maps with youth</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Analyze maps and document emergent themes</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Young adult facilitators trained to help collect maps from peers</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2017</w:t>
            </w:r>
          </w:p>
        </w:tc>
        <w:tc>
          <w:tcPr>
            <w:tcW w:w="144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Kristen </w:t>
            </w:r>
            <w:proofErr w:type="spellStart"/>
            <w:r>
              <w:rPr>
                <w:rFonts w:ascii="Times New Roman" w:eastAsia="Times New Roman" w:hAnsi="Times New Roman" w:cs="Times New Roman"/>
                <w:sz w:val="20"/>
                <w:szCs w:val="20"/>
              </w:rPr>
              <w:t>Hassmiller</w:t>
            </w:r>
            <w:proofErr w:type="spellEnd"/>
            <w:r>
              <w:rPr>
                <w:rFonts w:ascii="Times New Roman" w:eastAsia="Times New Roman" w:hAnsi="Times New Roman" w:cs="Times New Roman"/>
                <w:sz w:val="20"/>
                <w:szCs w:val="20"/>
              </w:rPr>
              <w:t xml:space="preserve"> Lich</w:t>
            </w:r>
          </w:p>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220"/>
        </w:trPr>
        <w:tc>
          <w:tcPr>
            <w:tcW w:w="2340" w:type="dxa"/>
            <w:gridSpan w:val="2"/>
            <w:vMerge w:val="restart"/>
            <w:shd w:val="clear" w:color="auto" w:fill="FFFFFF"/>
          </w:tcPr>
          <w:p w:rsidR="00094181" w:rsidRDefault="00DD18ED">
            <w:pPr>
              <w:shd w:val="clear" w:color="auto" w:fill="FFFFFF"/>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Gap analysis to match </w:t>
            </w:r>
            <w:r>
              <w:rPr>
                <w:rFonts w:ascii="Times New Roman" w:eastAsia="Times New Roman" w:hAnsi="Times New Roman" w:cs="Times New Roman"/>
                <w:b/>
                <w:sz w:val="20"/>
                <w:szCs w:val="20"/>
              </w:rPr>
              <w:lastRenderedPageBreak/>
              <w:t>YEYA needs to available resources and clearly describe what is missing or in need of improvement</w:t>
            </w:r>
          </w:p>
          <w:p w:rsidR="00094181" w:rsidRDefault="00094181">
            <w:pPr>
              <w:shd w:val="clear" w:color="auto" w:fill="FFFFFF"/>
              <w:contextualSpacing w:val="0"/>
              <w:rPr>
                <w:rFonts w:ascii="Times New Roman" w:eastAsia="Times New Roman" w:hAnsi="Times New Roman" w:cs="Times New Roman"/>
                <w:b/>
                <w:sz w:val="20"/>
                <w:szCs w:val="20"/>
              </w:rPr>
            </w:pPr>
          </w:p>
          <w:p w:rsidR="00094181" w:rsidRDefault="00DD18ED">
            <w:pPr>
              <w:shd w:val="clear" w:color="auto" w:fill="FFFFFF"/>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We will also work on how to strengthen the system to make needed changes</w:t>
            </w:r>
          </w:p>
          <w:p w:rsidR="00094181" w:rsidRDefault="00094181">
            <w:pPr>
              <w:shd w:val="clear" w:color="auto" w:fill="FFFFFF"/>
              <w:contextualSpacing w:val="0"/>
              <w:rPr>
                <w:rFonts w:ascii="Times New Roman" w:eastAsia="Times New Roman" w:hAnsi="Times New Roman" w:cs="Times New Roman"/>
                <w:b/>
                <w:sz w:val="20"/>
                <w:szCs w:val="20"/>
              </w:rPr>
            </w:pPr>
          </w:p>
          <w:p w:rsidR="00094181" w:rsidRDefault="00094181">
            <w:pPr>
              <w:shd w:val="clear" w:color="auto" w:fill="FFFFFF"/>
              <w:contextualSpacing w:val="0"/>
              <w:rPr>
                <w:rFonts w:ascii="Times New Roman" w:eastAsia="Times New Roman" w:hAnsi="Times New Roman" w:cs="Times New Roman"/>
                <w:b/>
                <w:sz w:val="20"/>
                <w:szCs w:val="20"/>
              </w:rPr>
            </w:pPr>
          </w:p>
          <w:p w:rsidR="00094181" w:rsidRDefault="00094181">
            <w:pPr>
              <w:shd w:val="clear" w:color="auto" w:fill="FFFFFF"/>
              <w:contextualSpacing w:val="0"/>
              <w:rPr>
                <w:rFonts w:ascii="Times New Roman" w:eastAsia="Times New Roman" w:hAnsi="Times New Roman" w:cs="Times New Roman"/>
                <w:b/>
                <w:sz w:val="20"/>
                <w:szCs w:val="20"/>
              </w:rPr>
            </w:pPr>
          </w:p>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Document relevant agencies’ </w:t>
            </w:r>
            <w:r>
              <w:rPr>
                <w:rFonts w:ascii="Times New Roman" w:eastAsia="Times New Roman" w:hAnsi="Times New Roman" w:cs="Times New Roman"/>
                <w:sz w:val="20"/>
                <w:szCs w:val="20"/>
              </w:rPr>
              <w:lastRenderedPageBreak/>
              <w:t xml:space="preserve">programs, services, and/or initiatives that (could better) support youth in transition -- </w:t>
            </w:r>
          </w:p>
          <w:p w:rsidR="00094181" w:rsidRDefault="00094181">
            <w:pPr>
              <w:shd w:val="clear" w:color="auto" w:fill="FFFFFF"/>
              <w:contextualSpacing w:val="0"/>
              <w:rPr>
                <w:rFonts w:ascii="Times New Roman" w:eastAsia="Times New Roman" w:hAnsi="Times New Roman" w:cs="Times New Roman"/>
                <w:sz w:val="20"/>
                <w:szCs w:val="20"/>
              </w:rPr>
            </w:pPr>
          </w:p>
        </w:tc>
        <w:tc>
          <w:tcPr>
            <w:tcW w:w="288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Share a “living” whole system </w:t>
            </w:r>
            <w:r>
              <w:rPr>
                <w:rFonts w:ascii="Times New Roman" w:eastAsia="Times New Roman" w:hAnsi="Times New Roman" w:cs="Times New Roman"/>
                <w:sz w:val="20"/>
                <w:szCs w:val="20"/>
              </w:rPr>
              <w:lastRenderedPageBreak/>
              <w:t xml:space="preserve">inventory in table format to give the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and other partners a sense of what we have to work with to better support YEYA in NC from supportive systems/agencies</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September </w:t>
            </w:r>
            <w:r>
              <w:rPr>
                <w:rFonts w:ascii="Times New Roman" w:eastAsia="Times New Roman" w:hAnsi="Times New Roman" w:cs="Times New Roman"/>
                <w:sz w:val="20"/>
                <w:szCs w:val="20"/>
              </w:rPr>
              <w:lastRenderedPageBreak/>
              <w:t>2017 - December 2017</w:t>
            </w:r>
          </w:p>
        </w:tc>
        <w:tc>
          <w:tcPr>
            <w:tcW w:w="144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TBD</w:t>
            </w: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22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Gather additional System Support Maps (from youth as described above as well as other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stakeholders)</w:t>
            </w:r>
          </w:p>
        </w:tc>
        <w:tc>
          <w:tcPr>
            <w:tcW w:w="2880" w:type="dxa"/>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Collect 12 additional to complete the set we already gathered.</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2017 - December 2017</w:t>
            </w:r>
          </w:p>
        </w:tc>
        <w:tc>
          <w:tcPr>
            <w:tcW w:w="1440" w:type="dxa"/>
            <w:tcBorders>
              <w:left w:val="single" w:sz="4" w:space="0" w:color="000000"/>
            </w:tcBorders>
            <w:shd w:val="clear" w:color="auto" w:fill="FFFFFF"/>
            <w:vAlign w:val="center"/>
          </w:tcPr>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22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Map additional assets that can support YEYA</w:t>
            </w:r>
          </w:p>
          <w:p w:rsidR="00094181" w:rsidRDefault="00094181">
            <w:pPr>
              <w:shd w:val="clear" w:color="auto" w:fill="FFFFFF"/>
              <w:contextualSpacing w:val="0"/>
              <w:rPr>
                <w:rFonts w:ascii="Times New Roman" w:eastAsia="Times New Roman" w:hAnsi="Times New Roman" w:cs="Times New Roman"/>
                <w:sz w:val="20"/>
                <w:szCs w:val="20"/>
              </w:rPr>
            </w:pP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Documentation of additional non-agency assets, including from a system support and youth viewpoint</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2017 - May 2018</w:t>
            </w:r>
          </w:p>
        </w:tc>
        <w:tc>
          <w:tcPr>
            <w:tcW w:w="144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22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Analyze the wishes from the System Support Maps in terms of where there is leverage to make change. This could be at agency level,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level, local community level or policy level.</w:t>
            </w:r>
          </w:p>
          <w:p w:rsidR="00094181" w:rsidRDefault="00094181">
            <w:pPr>
              <w:shd w:val="clear" w:color="auto" w:fill="FFFFFF"/>
              <w:contextualSpacing w:val="0"/>
              <w:rPr>
                <w:rFonts w:ascii="Times New Roman" w:eastAsia="Times New Roman" w:hAnsi="Times New Roman" w:cs="Times New Roman"/>
                <w:sz w:val="20"/>
                <w:szCs w:val="20"/>
              </w:rPr>
            </w:pP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 menu of potential targets for change that can be shared with the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Collaborative and broader communities, grounded in data.</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2018 - May 2018</w:t>
            </w:r>
          </w:p>
        </w:tc>
        <w:tc>
          <w:tcPr>
            <w:tcW w:w="1440" w:type="dxa"/>
            <w:tcBorders>
              <w:left w:val="single" w:sz="4" w:space="0" w:color="000000"/>
            </w:tcBorders>
            <w:shd w:val="clear" w:color="auto" w:fill="FFFFFF"/>
            <w:vAlign w:val="center"/>
          </w:tcPr>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gridAfter w:val="6"/>
          <w:wAfter w:w="12870" w:type="dxa"/>
        </w:trPr>
        <w:tc>
          <w:tcPr>
            <w:tcW w:w="14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385623"/>
                <w:sz w:val="20"/>
                <w:szCs w:val="20"/>
              </w:rPr>
            </w:pPr>
          </w:p>
        </w:tc>
      </w:tr>
      <w:tr w:rsidR="00094181">
        <w:trPr>
          <w:trHeight w:val="980"/>
        </w:trPr>
        <w:tc>
          <w:tcPr>
            <w:tcW w:w="2340" w:type="dxa"/>
            <w:gridSpan w:val="2"/>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Understanding and sharing knowledge about funding streams and policies that support transitions to adulthood to inform better service for individuals and interconnections between agency initiatives</w:t>
            </w:r>
          </w:p>
          <w:p w:rsidR="00094181" w:rsidRDefault="00094181">
            <w:pPr>
              <w:shd w:val="clear" w:color="auto" w:fill="FFFFFF"/>
              <w:contextualSpacing w:val="0"/>
              <w:rPr>
                <w:rFonts w:ascii="Times New Roman" w:eastAsia="Times New Roman" w:hAnsi="Times New Roman" w:cs="Times New Roman"/>
                <w:b/>
                <w:sz w:val="20"/>
                <w:szCs w:val="20"/>
              </w:rPr>
            </w:pPr>
          </w:p>
          <w:p w:rsidR="00094181" w:rsidRDefault="00094181">
            <w:pPr>
              <w:shd w:val="clear" w:color="auto" w:fill="FFFFFF"/>
              <w:contextualSpacing w:val="0"/>
              <w:rPr>
                <w:rFonts w:ascii="Times New Roman" w:eastAsia="Times New Roman" w:hAnsi="Times New Roman" w:cs="Times New Roman"/>
                <w:b/>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 with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members to review the whole system inventory (see above) and strategize on how to make better use of existing resources/funding for youth.</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Disseminate </w:t>
            </w:r>
            <w:proofErr w:type="spellStart"/>
            <w:proofErr w:type="gramStart"/>
            <w:r>
              <w:rPr>
                <w:rFonts w:ascii="Times New Roman" w:eastAsia="Times New Roman" w:hAnsi="Times New Roman" w:cs="Times New Roman"/>
                <w:sz w:val="20"/>
                <w:szCs w:val="20"/>
              </w:rPr>
              <w:t>a”living</w:t>
            </w:r>
            <w:proofErr w:type="spellEnd"/>
            <w:proofErr w:type="gramEnd"/>
            <w:r>
              <w:rPr>
                <w:rFonts w:ascii="Times New Roman" w:eastAsia="Times New Roman" w:hAnsi="Times New Roman" w:cs="Times New Roman"/>
                <w:sz w:val="20"/>
                <w:szCs w:val="20"/>
              </w:rPr>
              <w:t>” (to be updated over time) insights guide on how to better leverage (e.g., sequence)  existing funds or services to better support YEYA in NC.</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2018 - May 2018</w:t>
            </w:r>
          </w:p>
        </w:tc>
        <w:tc>
          <w:tcPr>
            <w:tcW w:w="144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385623"/>
                <w:sz w:val="20"/>
                <w:szCs w:val="20"/>
              </w:rPr>
            </w:pPr>
          </w:p>
        </w:tc>
      </w:tr>
      <w:tr w:rsidR="00094181">
        <w:trPr>
          <w:trHeight w:val="160"/>
        </w:trPr>
        <w:tc>
          <w:tcPr>
            <w:tcW w:w="2340" w:type="dxa"/>
            <w:gridSpan w:val="2"/>
            <w:tcBorders>
              <w:lef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Develop Social Marketing</w:t>
            </w:r>
          </w:p>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Formalize and publish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Mission and Vision statements</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Members will have a better sense of what the group is about and belonging</w:t>
            </w:r>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2018</w:t>
            </w:r>
          </w:p>
        </w:tc>
        <w:tc>
          <w:tcPr>
            <w:tcW w:w="1440" w:type="dxa"/>
            <w:tcBorders>
              <w:left w:val="single" w:sz="4" w:space="0" w:color="000000"/>
            </w:tcBorders>
            <w:shd w:val="clear" w:color="auto" w:fill="FFFFFF"/>
            <w:vAlign w:val="center"/>
          </w:tcPr>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385623"/>
                <w:sz w:val="20"/>
                <w:szCs w:val="20"/>
              </w:rPr>
            </w:pPr>
          </w:p>
        </w:tc>
      </w:tr>
      <w:tr w:rsidR="00094181">
        <w:trPr>
          <w:trHeight w:val="160"/>
        </w:trPr>
        <w:tc>
          <w:tcPr>
            <w:tcW w:w="2340" w:type="dxa"/>
            <w:gridSpan w:val="2"/>
            <w:vMerge w:val="restart"/>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i/>
                <w:sz w:val="20"/>
                <w:szCs w:val="20"/>
              </w:rPr>
            </w:pPr>
          </w:p>
          <w:p w:rsidR="00094181" w:rsidRDefault="00DD18ED">
            <w:pPr>
              <w:shd w:val="clear" w:color="auto" w:fill="FFFFFF"/>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Increase </w:t>
            </w:r>
            <w:proofErr w:type="spellStart"/>
            <w:r>
              <w:rPr>
                <w:rFonts w:ascii="Times New Roman" w:eastAsia="Times New Roman" w:hAnsi="Times New Roman" w:cs="Times New Roman"/>
                <w:b/>
                <w:i/>
                <w:sz w:val="20"/>
                <w:szCs w:val="20"/>
              </w:rPr>
              <w:t>CoP</w:t>
            </w:r>
            <w:proofErr w:type="spellEnd"/>
            <w:r>
              <w:rPr>
                <w:rFonts w:ascii="Times New Roman" w:eastAsia="Times New Roman" w:hAnsi="Times New Roman" w:cs="Times New Roman"/>
                <w:b/>
                <w:i/>
                <w:sz w:val="20"/>
                <w:szCs w:val="20"/>
              </w:rPr>
              <w:t xml:space="preserve"> Membership</w:t>
            </w:r>
          </w:p>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technological platform to support virtual social learning and collaboration</w:t>
            </w:r>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 use of Adobe for monthly meetings.</w:t>
            </w:r>
          </w:p>
          <w:p w:rsidR="00094181" w:rsidRDefault="00094181">
            <w:pPr>
              <w:shd w:val="clear" w:color="auto" w:fill="FFFFFF"/>
              <w:contextualSpacing w:val="0"/>
              <w:rPr>
                <w:rFonts w:ascii="Times New Roman" w:eastAsia="Times New Roman" w:hAnsi="Times New Roman" w:cs="Times New Roman"/>
                <w:sz w:val="20"/>
                <w:szCs w:val="20"/>
              </w:rPr>
            </w:pP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Explore other methods</w:t>
            </w:r>
          </w:p>
        </w:tc>
        <w:tc>
          <w:tcPr>
            <w:tcW w:w="1440" w:type="dxa"/>
            <w:tcBorders>
              <w:left w:val="single" w:sz="4" w:space="0" w:color="000000"/>
              <w:righ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sz w:val="20"/>
                <w:szCs w:val="20"/>
              </w:rPr>
            </w:pPr>
          </w:p>
        </w:tc>
        <w:tc>
          <w:tcPr>
            <w:tcW w:w="1440" w:type="dxa"/>
            <w:tcBorders>
              <w:left w:val="single" w:sz="4" w:space="0" w:color="000000"/>
            </w:tcBorders>
            <w:shd w:val="clear" w:color="auto" w:fill="FFFFFF"/>
            <w:vAlign w:val="center"/>
          </w:tcPr>
          <w:p w:rsidR="00094181" w:rsidRDefault="00094181">
            <w:pPr>
              <w:shd w:val="clear" w:color="auto" w:fill="FFFFFF"/>
              <w:contextualSpacing w:val="0"/>
              <w:rPr>
                <w:rFonts w:ascii="Times New Roman" w:eastAsia="Times New Roman" w:hAnsi="Times New Roman" w:cs="Times New Roman"/>
                <w:sz w:val="20"/>
                <w:szCs w:val="20"/>
              </w:rPr>
            </w:pP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r w:rsidR="00094181">
        <w:trPr>
          <w:trHeight w:val="160"/>
        </w:trPr>
        <w:tc>
          <w:tcPr>
            <w:tcW w:w="2340" w:type="dxa"/>
            <w:gridSpan w:val="2"/>
            <w:vMerge/>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b/>
                <w:i/>
                <w:sz w:val="20"/>
                <w:szCs w:val="20"/>
              </w:rPr>
            </w:pPr>
          </w:p>
        </w:tc>
        <w:tc>
          <w:tcPr>
            <w:tcW w:w="297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members will identify their leadership strengths to match with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needs. </w:t>
            </w:r>
            <w:proofErr w:type="spellStart"/>
            <w:r>
              <w:rPr>
                <w:rFonts w:ascii="Times New Roman" w:eastAsia="Times New Roman" w:hAnsi="Times New Roman" w:cs="Times New Roman"/>
                <w:sz w:val="20"/>
                <w:szCs w:val="20"/>
              </w:rPr>
              <w:t>CoP</w:t>
            </w:r>
            <w:proofErr w:type="spellEnd"/>
            <w:r>
              <w:rPr>
                <w:rFonts w:ascii="Times New Roman" w:eastAsia="Times New Roman" w:hAnsi="Times New Roman" w:cs="Times New Roman"/>
                <w:sz w:val="20"/>
                <w:szCs w:val="20"/>
              </w:rPr>
              <w:t xml:space="preserve"> members take Strength Based Leadership Assessment and discuss results as a group (Tom </w:t>
            </w:r>
            <w:proofErr w:type="spellStart"/>
            <w:r>
              <w:rPr>
                <w:rFonts w:ascii="Times New Roman" w:eastAsia="Times New Roman" w:hAnsi="Times New Roman" w:cs="Times New Roman"/>
                <w:sz w:val="20"/>
                <w:szCs w:val="20"/>
              </w:rPr>
              <w:t>Rath</w:t>
            </w:r>
            <w:proofErr w:type="spellEnd"/>
          </w:p>
        </w:tc>
        <w:tc>
          <w:tcPr>
            <w:tcW w:w="288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Members will take greater leadership role in the </w:t>
            </w:r>
            <w:proofErr w:type="spellStart"/>
            <w:r>
              <w:rPr>
                <w:rFonts w:ascii="Times New Roman" w:eastAsia="Times New Roman" w:hAnsi="Times New Roman" w:cs="Times New Roman"/>
                <w:sz w:val="20"/>
                <w:szCs w:val="20"/>
              </w:rPr>
              <w:t>CoP</w:t>
            </w:r>
            <w:proofErr w:type="spellEnd"/>
          </w:p>
        </w:tc>
        <w:tc>
          <w:tcPr>
            <w:tcW w:w="1440" w:type="dxa"/>
            <w:tcBorders>
              <w:left w:val="single" w:sz="4" w:space="0" w:color="000000"/>
              <w:right w:val="single" w:sz="4" w:space="0" w:color="000000"/>
            </w:tcBorders>
            <w:shd w:val="clear" w:color="auto" w:fill="FFFFFF"/>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2017</w:t>
            </w:r>
          </w:p>
        </w:tc>
        <w:tc>
          <w:tcPr>
            <w:tcW w:w="1440" w:type="dxa"/>
            <w:tcBorders>
              <w:left w:val="single" w:sz="4" w:space="0" w:color="000000"/>
            </w:tcBorders>
            <w:shd w:val="clear" w:color="auto" w:fill="FFFFFF"/>
            <w:vAlign w:val="center"/>
          </w:tcPr>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Kristen </w:t>
            </w:r>
            <w:proofErr w:type="spellStart"/>
            <w:r>
              <w:rPr>
                <w:rFonts w:ascii="Times New Roman" w:eastAsia="Times New Roman" w:hAnsi="Times New Roman" w:cs="Times New Roman"/>
                <w:sz w:val="20"/>
                <w:szCs w:val="20"/>
              </w:rPr>
              <w:t>Hassmiller</w:t>
            </w:r>
            <w:proofErr w:type="spellEnd"/>
            <w:r>
              <w:rPr>
                <w:rFonts w:ascii="Times New Roman" w:eastAsia="Times New Roman" w:hAnsi="Times New Roman" w:cs="Times New Roman"/>
                <w:sz w:val="20"/>
                <w:szCs w:val="20"/>
              </w:rPr>
              <w:t xml:space="preserve"> Lich</w:t>
            </w:r>
          </w:p>
          <w:p w:rsidR="00094181" w:rsidRDefault="00DD18ED">
            <w:pPr>
              <w:shd w:val="clear" w:color="auto" w:fill="FFFFFF"/>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Amy Horgan</w:t>
            </w:r>
          </w:p>
        </w:tc>
        <w:tc>
          <w:tcPr>
            <w:tcW w:w="3240" w:type="dxa"/>
            <w:tcBorders>
              <w:left w:val="single" w:sz="4" w:space="0" w:color="000000"/>
            </w:tcBorders>
            <w:shd w:val="clear" w:color="auto" w:fill="FFFFFF"/>
          </w:tcPr>
          <w:p w:rsidR="00094181" w:rsidRDefault="00094181">
            <w:pPr>
              <w:shd w:val="clear" w:color="auto" w:fill="FFFFFF"/>
              <w:contextualSpacing w:val="0"/>
              <w:rPr>
                <w:rFonts w:ascii="Times New Roman" w:eastAsia="Times New Roman" w:hAnsi="Times New Roman" w:cs="Times New Roman"/>
                <w:color w:val="7030A0"/>
                <w:sz w:val="20"/>
                <w:szCs w:val="20"/>
              </w:rPr>
            </w:pPr>
          </w:p>
        </w:tc>
      </w:tr>
    </w:tbl>
    <w:p w:rsidR="00094181" w:rsidRDefault="00094181"/>
    <w:sectPr w:rsidR="00094181">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ED" w:rsidRDefault="00DD18ED">
      <w:pPr>
        <w:spacing w:after="0" w:line="240" w:lineRule="auto"/>
      </w:pPr>
      <w:r>
        <w:separator/>
      </w:r>
    </w:p>
  </w:endnote>
  <w:endnote w:type="continuationSeparator" w:id="0">
    <w:p w:rsidR="00DD18ED" w:rsidRDefault="00D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ED" w:rsidRDefault="00DD18ED">
      <w:pPr>
        <w:spacing w:after="0" w:line="240" w:lineRule="auto"/>
      </w:pPr>
      <w:r>
        <w:separator/>
      </w:r>
    </w:p>
  </w:footnote>
  <w:footnote w:type="continuationSeparator" w:id="0">
    <w:p w:rsidR="00DD18ED" w:rsidRDefault="00DD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81" w:rsidRDefault="00DD18ED">
    <w:pPr>
      <w:tabs>
        <w:tab w:val="center" w:pos="4680"/>
        <w:tab w:val="right" w:pos="9360"/>
      </w:tabs>
      <w:spacing w:before="720" w:after="0" w:line="240" w:lineRule="auto"/>
    </w:pPr>
    <w:r>
      <w:rPr>
        <w:noProof/>
        <w:lang w:eastAsia="en-US"/>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-314324</wp:posOffset>
          </wp:positionV>
          <wp:extent cx="1666875" cy="1050290"/>
          <wp:effectExtent l="0" t="0" r="0" b="0"/>
          <wp:wrapTopAndBottom distT="0" distB="0"/>
          <wp:docPr id="1" name="image2.png" descr="http://www.nccollaborative.org/wp-content/uploads/2015/05/logo-21.png"/>
          <wp:cNvGraphicFramePr/>
          <a:graphic xmlns:a="http://schemas.openxmlformats.org/drawingml/2006/main">
            <a:graphicData uri="http://schemas.openxmlformats.org/drawingml/2006/picture">
              <pic:pic xmlns:pic="http://schemas.openxmlformats.org/drawingml/2006/picture">
                <pic:nvPicPr>
                  <pic:cNvPr id="0" name="image2.png" descr="http://www.nccollaborative.org/wp-content/uploads/2015/05/logo-21.png"/>
                  <pic:cNvPicPr preferRelativeResize="0"/>
                </pic:nvPicPr>
                <pic:blipFill>
                  <a:blip r:embed="rId1"/>
                  <a:srcRect/>
                  <a:stretch>
                    <a:fillRect/>
                  </a:stretch>
                </pic:blipFill>
                <pic:spPr>
                  <a:xfrm>
                    <a:off x="0" y="0"/>
                    <a:ext cx="1666875" cy="10502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639BF"/>
    <w:multiLevelType w:val="multilevel"/>
    <w:tmpl w:val="32F2D6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ABB3563"/>
    <w:multiLevelType w:val="multilevel"/>
    <w:tmpl w:val="A0C2A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E454D1"/>
    <w:multiLevelType w:val="multilevel"/>
    <w:tmpl w:val="4BE87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81"/>
    <w:rsid w:val="00094181"/>
    <w:rsid w:val="0045250B"/>
    <w:rsid w:val="00895B2F"/>
    <w:rsid w:val="00DD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0D9DE-10EF-4684-AFEB-325945B9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CN"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Horgan</dc:creator>
  <cp:lastModifiedBy>Stacy Justiss</cp:lastModifiedBy>
  <cp:revision>2</cp:revision>
  <dcterms:created xsi:type="dcterms:W3CDTF">2017-07-11T16:46:00Z</dcterms:created>
  <dcterms:modified xsi:type="dcterms:W3CDTF">2017-07-11T16:46:00Z</dcterms:modified>
</cp:coreProperties>
</file>